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6C49D" w14:textId="7425A442" w:rsidR="00FD1771" w:rsidRPr="00A6725E" w:rsidRDefault="00DB1067" w:rsidP="00784B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E6">
        <w:rPr>
          <w:rFonts w:ascii="Times New Roman" w:hAnsi="Times New Roman" w:cs="Times New Roman"/>
          <w:b/>
          <w:sz w:val="24"/>
          <w:szCs w:val="24"/>
        </w:rPr>
        <w:t>Справедлив  преход към неутрална по отношение на климата икономика</w:t>
      </w:r>
      <w:r w:rsidR="00A672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A6725E">
        <w:rPr>
          <w:rFonts w:ascii="Times New Roman" w:hAnsi="Times New Roman" w:cs="Times New Roman"/>
          <w:b/>
          <w:sz w:val="24"/>
          <w:szCs w:val="24"/>
        </w:rPr>
        <w:t>проучване на уменията и нагласите за развитие на наетите лица от  ТЕЦ и въглищните мини в областите Стара Загора, Перник и Кюстендил</w:t>
      </w:r>
    </w:p>
    <w:p w14:paraId="6AA19612" w14:textId="77777777" w:rsidR="00784B5D" w:rsidRPr="003410E6" w:rsidRDefault="00784B5D" w:rsidP="00784B5D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10E6">
        <w:rPr>
          <w:rFonts w:ascii="Times New Roman" w:hAnsi="Times New Roman" w:cs="Times New Roman"/>
          <w:i/>
          <w:sz w:val="24"/>
          <w:szCs w:val="24"/>
        </w:rPr>
        <w:t>(основни изводи и препоръки)</w:t>
      </w:r>
    </w:p>
    <w:p w14:paraId="540724FA" w14:textId="77777777" w:rsidR="00221CD4" w:rsidRPr="003410E6" w:rsidRDefault="00221CD4" w:rsidP="00784B5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26F00" w14:textId="73473159" w:rsidR="001F0095" w:rsidRPr="00A22759" w:rsidRDefault="00ED5043" w:rsidP="00784B5D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От началото на м. април 2024 г. се извърш</w:t>
      </w:r>
      <w:r w:rsidR="00233F9B">
        <w:rPr>
          <w:rFonts w:ascii="Times New Roman" w:hAnsi="Times New Roman" w:cs="Times New Roman"/>
          <w:sz w:val="24"/>
          <w:szCs w:val="24"/>
        </w:rPr>
        <w:t xml:space="preserve">и </w:t>
      </w:r>
      <w:r w:rsidR="001F0095" w:rsidRPr="003410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проучване за идентифициране на наличните професионални умения и нагласите за развитие на пряко заетите лица в ТЕЦ и въглищните мини в областите Стара Загора, Кюстендил и Перник. Проектът се </w:t>
      </w:r>
      <w:r w:rsidR="001F0095" w:rsidRPr="00A2275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изпълнява по Програма „Развитие на човешките ресурси“ 2021 – 2027 г. с бенефициент МТСП и партньори КНСБ, КТ „Подкрепа“, НСИ и А</w:t>
      </w:r>
      <w:r w:rsidR="00C1676C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генция по заетостта</w:t>
      </w:r>
      <w:r w:rsidR="001F0095" w:rsidRPr="00A2275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167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Работата по проекта продължава до края на 2025 г., но вече са ясни водещите изводи, които дават основание на КНСБ да направи и конкретни препоръки към държавните институции, за които ще стане дума по-долу. </w:t>
      </w:r>
    </w:p>
    <w:p w14:paraId="11092739" w14:textId="77777777" w:rsidR="001F0095" w:rsidRPr="003343CE" w:rsidRDefault="001F0095" w:rsidP="00784B5D">
      <w:pPr>
        <w:spacing w:line="276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3343CE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Целта на проекта е: </w:t>
      </w:r>
    </w:p>
    <w:p w14:paraId="27326F7B" w14:textId="77777777" w:rsidR="001F0095" w:rsidRPr="001F0095" w:rsidRDefault="001F0095" w:rsidP="00784B5D">
      <w:pPr>
        <w:numPr>
          <w:ilvl w:val="0"/>
          <w:numId w:val="16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FC6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повиши ефективността на провежданите политики на пазара на труда с оглед запазване на заетостта и минимизиране на последиците от</w:t>
      </w:r>
      <w:r w:rsidR="00221C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затихване </w:t>
      </w:r>
      <w:r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добива на въглища и на производството на електроенергия от въглища в България</w:t>
      </w:r>
      <w:r w:rsidR="00784B5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54EB76E2" w14:textId="0334F179" w:rsidR="001F0095" w:rsidRPr="001F0095" w:rsidRDefault="00C1676C" w:rsidP="00784B5D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извърши и</w:t>
      </w:r>
      <w:r w:rsidR="001F0095"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дентифициране и картографиране на налични</w:t>
      </w:r>
      <w:r w:rsidR="00DB1067" w:rsidRPr="00A227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умения и нагласи за развитие, </w:t>
      </w:r>
      <w:r w:rsidR="001F0095"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квалификацията и преквалификация, обучен</w:t>
      </w:r>
      <w:r w:rsidR="00DB1067" w:rsidRPr="00A22759">
        <w:rPr>
          <w:rFonts w:ascii="Times New Roman" w:eastAsia="Times New Roman" w:hAnsi="Times New Roman" w:cs="Times New Roman"/>
          <w:sz w:val="24"/>
          <w:szCs w:val="24"/>
          <w:lang w:eastAsia="bg-BG"/>
        </w:rPr>
        <w:t>ие на нови умения</w:t>
      </w:r>
      <w:r w:rsidR="001F0095"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наетите лица в ТЕЦ-те и въглищните мини в областите Стара Загора, Кюстендил и Перник</w:t>
      </w:r>
      <w:r w:rsidR="00784B5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1F0095"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83C9497" w14:textId="77777777" w:rsidR="001F0095" w:rsidRPr="001F0095" w:rsidRDefault="001F0095" w:rsidP="000C01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Картографирането на уменията ще допринесе и за предоставянето на необходимата информация за разработване, планиране и предоставяне на подходящи мерки за кариерна подкрепа и повишаване на квалификацията/преквалификация и уменията на работната сила, засегната от </w:t>
      </w:r>
      <w:proofErr w:type="spellStart"/>
      <w:r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нисковъглеродния</w:t>
      </w:r>
      <w:proofErr w:type="spellEnd"/>
      <w:r w:rsidRPr="001F0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преход, в рамките на планираните инвестиции по Териториалните планове за справедлив преход на области Стара Загора, Кюстендил и Перник, които ще се финансират в рамките на ПРР със средства от ФСП</w:t>
      </w:r>
      <w:r w:rsidR="00784B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66E6133" w14:textId="77777777" w:rsidR="00C1676C" w:rsidRDefault="00C1676C" w:rsidP="00C16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5BF8E" w14:textId="3FB80D59" w:rsidR="00C1676C" w:rsidRPr="003343CE" w:rsidRDefault="00C1676C" w:rsidP="00C1676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3C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Основни стъпки по реализация на проекта</w:t>
      </w:r>
    </w:p>
    <w:p w14:paraId="771D528C" w14:textId="21205207" w:rsidR="001F0095" w:rsidRPr="00894C0D" w:rsidRDefault="001F0095" w:rsidP="000C01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59">
        <w:rPr>
          <w:rFonts w:ascii="Times New Roman" w:hAnsi="Times New Roman" w:cs="Times New Roman"/>
          <w:sz w:val="24"/>
          <w:szCs w:val="24"/>
        </w:rPr>
        <w:t xml:space="preserve">В рамките на </w:t>
      </w:r>
      <w:r w:rsidR="00D348C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1676C">
        <w:rPr>
          <w:rFonts w:ascii="Times New Roman" w:hAnsi="Times New Roman" w:cs="Times New Roman"/>
          <w:sz w:val="24"/>
          <w:szCs w:val="24"/>
        </w:rPr>
        <w:t>приключва</w:t>
      </w:r>
      <w:r w:rsidRPr="00A22759">
        <w:rPr>
          <w:rFonts w:ascii="Times New Roman" w:hAnsi="Times New Roman" w:cs="Times New Roman"/>
          <w:sz w:val="24"/>
          <w:szCs w:val="24"/>
        </w:rPr>
        <w:t xml:space="preserve"> масово проучване на пряко заетите във въглищната индустрия</w:t>
      </w:r>
      <w:r w:rsidR="00D348C6">
        <w:rPr>
          <w:rFonts w:ascii="Times New Roman" w:hAnsi="Times New Roman" w:cs="Times New Roman"/>
          <w:sz w:val="24"/>
          <w:szCs w:val="24"/>
        </w:rPr>
        <w:t xml:space="preserve"> – 13</w:t>
      </w:r>
      <w:r w:rsidR="00C75F9A">
        <w:rPr>
          <w:rFonts w:ascii="Times New Roman" w:hAnsi="Times New Roman" w:cs="Times New Roman"/>
          <w:sz w:val="24"/>
          <w:szCs w:val="24"/>
        </w:rPr>
        <w:t xml:space="preserve"> </w:t>
      </w:r>
      <w:r w:rsidR="00D348C6">
        <w:rPr>
          <w:rFonts w:ascii="Times New Roman" w:hAnsi="Times New Roman" w:cs="Times New Roman"/>
          <w:sz w:val="24"/>
          <w:szCs w:val="24"/>
        </w:rPr>
        <w:t>409 лица. Обхванати в проучването са</w:t>
      </w:r>
      <w:r w:rsidRPr="00A22759">
        <w:rPr>
          <w:rFonts w:ascii="Times New Roman" w:hAnsi="Times New Roman" w:cs="Times New Roman"/>
          <w:sz w:val="24"/>
          <w:szCs w:val="24"/>
        </w:rPr>
        <w:t xml:space="preserve"> 12 460 души в трите въглищни района – Стара Загора, Перник и Кюстендил. Това мащабно проучване беше наложително, за да се осигури реалистична картина на социално-икономическите профили на работещите, тяхната възраст, трудов стаж, образование и компетенции, желание за адаптация, мобилност и нагласи към алтернативна заетост и обучения.</w:t>
      </w:r>
      <w:r w:rsidR="00894C0D" w:rsidRPr="000C0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4C211" w14:textId="77777777" w:rsidR="001F0095" w:rsidRPr="00C22DE6" w:rsidRDefault="001F0095" w:rsidP="00784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E6">
        <w:rPr>
          <w:rFonts w:ascii="Times New Roman" w:hAnsi="Times New Roman" w:cs="Times New Roman"/>
          <w:sz w:val="24"/>
          <w:szCs w:val="24"/>
        </w:rPr>
        <w:t>Картографираните лица съставляват около 92</w:t>
      </w:r>
      <w:r w:rsidR="00194069" w:rsidRPr="000C016A">
        <w:rPr>
          <w:rFonts w:ascii="Times New Roman" w:hAnsi="Times New Roman" w:cs="Times New Roman"/>
          <w:sz w:val="24"/>
          <w:szCs w:val="24"/>
        </w:rPr>
        <w:t>.9</w:t>
      </w:r>
      <w:r w:rsidRPr="00C22DE6">
        <w:rPr>
          <w:rFonts w:ascii="Times New Roman" w:hAnsi="Times New Roman" w:cs="Times New Roman"/>
          <w:sz w:val="24"/>
          <w:szCs w:val="24"/>
        </w:rPr>
        <w:t>% от реално заетите в тези региони, което осигурява висока представителност и надеждност на данните за анализ и планиране на мерки за справедлив преход.</w:t>
      </w:r>
    </w:p>
    <w:p w14:paraId="5AC5CDBB" w14:textId="77777777" w:rsidR="001F0095" w:rsidRPr="00C22DE6" w:rsidRDefault="001F0095" w:rsidP="00784B5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C22DE6">
        <w:rPr>
          <w:rFonts w:ascii="Times New Roman" w:hAnsi="Times New Roman" w:cs="Times New Roman"/>
        </w:rPr>
        <w:t xml:space="preserve">Стара Загора: </w:t>
      </w:r>
      <w:r w:rsidR="00D348C6" w:rsidRPr="00C22DE6">
        <w:rPr>
          <w:rFonts w:ascii="Times New Roman" w:hAnsi="Times New Roman" w:cs="Times New Roman"/>
        </w:rPr>
        <w:t>Представителност: 91,2</w:t>
      </w:r>
      <w:r w:rsidRPr="00C22DE6">
        <w:rPr>
          <w:rFonts w:ascii="Times New Roman" w:hAnsi="Times New Roman" w:cs="Times New Roman"/>
        </w:rPr>
        <w:t xml:space="preserve">%. </w:t>
      </w:r>
      <w:r w:rsidR="00D348C6" w:rsidRPr="00C22DE6">
        <w:rPr>
          <w:rFonts w:ascii="Times New Roman" w:hAnsi="Times New Roman" w:cs="Times New Roman"/>
        </w:rPr>
        <w:t>Общо 9 918</w:t>
      </w:r>
      <w:r w:rsidRPr="00C22DE6">
        <w:rPr>
          <w:rFonts w:ascii="Times New Roman" w:hAnsi="Times New Roman" w:cs="Times New Roman"/>
        </w:rPr>
        <w:t xml:space="preserve"> картограф</w:t>
      </w:r>
      <w:r w:rsidR="00C75F9A" w:rsidRPr="00C22DE6">
        <w:rPr>
          <w:rFonts w:ascii="Times New Roman" w:hAnsi="Times New Roman" w:cs="Times New Roman"/>
        </w:rPr>
        <w:t>ирани лица. Реално заети: 10 867</w:t>
      </w:r>
      <w:r w:rsidRPr="00C22DE6">
        <w:rPr>
          <w:rFonts w:ascii="Times New Roman" w:hAnsi="Times New Roman" w:cs="Times New Roman"/>
        </w:rPr>
        <w:t xml:space="preserve">. </w:t>
      </w:r>
    </w:p>
    <w:p w14:paraId="71726AAE" w14:textId="77777777" w:rsidR="001F0095" w:rsidRPr="00C22DE6" w:rsidRDefault="001F0095" w:rsidP="00784B5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C22DE6">
        <w:rPr>
          <w:rFonts w:ascii="Times New Roman" w:hAnsi="Times New Roman" w:cs="Times New Roman"/>
        </w:rPr>
        <w:lastRenderedPageBreak/>
        <w:t xml:space="preserve">Перник: </w:t>
      </w:r>
      <w:r w:rsidR="00ED5CD1">
        <w:rPr>
          <w:rFonts w:ascii="Times New Roman" w:hAnsi="Times New Roman" w:cs="Times New Roman"/>
        </w:rPr>
        <w:t xml:space="preserve">Представителност: 100 </w:t>
      </w:r>
      <w:r w:rsidRPr="00C22DE6">
        <w:rPr>
          <w:rFonts w:ascii="Times New Roman" w:hAnsi="Times New Roman" w:cs="Times New Roman"/>
        </w:rPr>
        <w:t>%. Общо 923 картогра</w:t>
      </w:r>
      <w:r w:rsidR="00D348C6" w:rsidRPr="00C22DE6">
        <w:rPr>
          <w:rFonts w:ascii="Times New Roman" w:hAnsi="Times New Roman" w:cs="Times New Roman"/>
        </w:rPr>
        <w:t>фирани лица. Реално заети: 923</w:t>
      </w:r>
      <w:r w:rsidRPr="00C22DE6">
        <w:rPr>
          <w:rFonts w:ascii="Times New Roman" w:hAnsi="Times New Roman" w:cs="Times New Roman"/>
        </w:rPr>
        <w:t xml:space="preserve">. </w:t>
      </w:r>
    </w:p>
    <w:p w14:paraId="4D7376B1" w14:textId="77777777" w:rsidR="001F0095" w:rsidRPr="00C22DE6" w:rsidRDefault="001F0095" w:rsidP="00784B5D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22DE6">
        <w:rPr>
          <w:rFonts w:ascii="Times New Roman" w:hAnsi="Times New Roman" w:cs="Times New Roman"/>
        </w:rPr>
        <w:t>Кюстендил: Представителност: 100%. Общо 1 619 картографирани лица. Реално заети: 1 619</w:t>
      </w:r>
    </w:p>
    <w:p w14:paraId="6A3767CC" w14:textId="3152A700" w:rsidR="00187FE6" w:rsidRPr="003343CE" w:rsidRDefault="00187FE6" w:rsidP="00784B5D">
      <w:pPr>
        <w:keepNext/>
        <w:keepLines/>
        <w:spacing w:before="120" w:after="120" w:line="276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CN"/>
        </w:rPr>
      </w:pPr>
      <w:bookmarkStart w:id="0" w:name="_Toc190623776"/>
      <w:bookmarkStart w:id="1" w:name="_Toc203509994"/>
      <w:bookmarkStart w:id="2" w:name="_Toc203508132"/>
      <w:bookmarkStart w:id="3" w:name="_Toc203508389"/>
      <w:r w:rsidRPr="003343CE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CN"/>
        </w:rPr>
        <w:t>Ключови изводи</w:t>
      </w:r>
      <w:bookmarkEnd w:id="0"/>
      <w:bookmarkEnd w:id="1"/>
      <w:bookmarkEnd w:id="2"/>
      <w:bookmarkEnd w:id="3"/>
      <w:r w:rsidR="00A22759" w:rsidRPr="003343CE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CN"/>
        </w:rPr>
        <w:t>:</w:t>
      </w:r>
    </w:p>
    <w:p w14:paraId="667E3FF8" w14:textId="77777777" w:rsidR="00C1676C" w:rsidRPr="003343CE" w:rsidRDefault="00C1676C" w:rsidP="00C1676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SimSun" w:hAnsi="Times New Roman" w:cs="Times New Roman"/>
          <w:b/>
          <w:bCs/>
        </w:rPr>
      </w:pPr>
      <w:r w:rsidRPr="00C1676C">
        <w:rPr>
          <w:rFonts w:ascii="Times New Roman" w:eastAsia="SimSun" w:hAnsi="Times New Roman" w:cs="Times New Roman"/>
          <w:bCs/>
        </w:rPr>
        <w:t xml:space="preserve">Изводите от проучването категорично показват, че преходът към чиста енергия трябва да бъде социално отговорен, адаптиран към местните реалности и фокусиран върху хората. </w:t>
      </w:r>
      <w:r w:rsidRPr="003343CE">
        <w:rPr>
          <w:rFonts w:ascii="Times New Roman" w:eastAsia="SimSun" w:hAnsi="Times New Roman" w:cs="Times New Roman"/>
          <w:b/>
          <w:bCs/>
        </w:rPr>
        <w:t>Проучването предоставя необходимата база данни, върху която да се изградят реалистични, справедливи и регионално адаптирани политики.</w:t>
      </w:r>
    </w:p>
    <w:p w14:paraId="1833CD35" w14:textId="77777777" w:rsidR="00C1676C" w:rsidRPr="00C1676C" w:rsidRDefault="00C1676C" w:rsidP="000C016A">
      <w:pPr>
        <w:pStyle w:val="a3"/>
        <w:spacing w:line="276" w:lineRule="auto"/>
        <w:ind w:left="786"/>
        <w:jc w:val="both"/>
        <w:rPr>
          <w:rFonts w:ascii="Times New Roman" w:eastAsia="SimSun" w:hAnsi="Times New Roman" w:cs="Times New Roman"/>
          <w:bCs/>
        </w:rPr>
      </w:pPr>
    </w:p>
    <w:p w14:paraId="52E853F9" w14:textId="39F45436" w:rsidR="00F321E7" w:rsidRPr="003343CE" w:rsidRDefault="00187FE6" w:rsidP="00784B5D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="SimSun" w:hAnsi="Times New Roman" w:cs="Times New Roman"/>
          <w:color w:val="000000"/>
        </w:rPr>
      </w:pPr>
      <w:r w:rsidRPr="00ED5CD1">
        <w:rPr>
          <w:rFonts w:ascii="Times New Roman" w:eastAsia="SimSun" w:hAnsi="Times New Roman" w:cs="Times New Roman"/>
          <w:color w:val="000000"/>
        </w:rPr>
        <w:t xml:space="preserve">Картографирането на наличните умения и нагласите за развитие на заетите лица в ТЕЦ и въглищните мини в трите региона показва, че </w:t>
      </w:r>
      <w:r w:rsidRPr="00BC071C">
        <w:rPr>
          <w:rFonts w:ascii="Times New Roman" w:eastAsia="SimSun" w:hAnsi="Times New Roman" w:cs="Times New Roman"/>
          <w:b/>
          <w:color w:val="000000"/>
          <w:u w:val="single"/>
        </w:rPr>
        <w:t>предприятията са изправени пред значителни рискове за работната заетост</w:t>
      </w:r>
      <w:r w:rsidRPr="003343CE">
        <w:rPr>
          <w:rFonts w:ascii="Times New Roman" w:eastAsia="SimSun" w:hAnsi="Times New Roman" w:cs="Times New Roman"/>
          <w:color w:val="000000"/>
        </w:rPr>
        <w:t>, засягащи както работниците, така и техните домакинства</w:t>
      </w:r>
      <w:r w:rsidR="009246AF" w:rsidRPr="003343CE">
        <w:rPr>
          <w:rFonts w:ascii="Times New Roman" w:eastAsia="SimSun" w:hAnsi="Times New Roman" w:cs="Times New Roman"/>
          <w:color w:val="000000"/>
        </w:rPr>
        <w:t xml:space="preserve">. Макар, че настоящето изложение се отнася преди всичко до пряко заетите и техните семейства, следва да се подчерта е и фактът, че процесите засягат </w:t>
      </w:r>
      <w:r w:rsidR="00F321E7" w:rsidRPr="003343CE">
        <w:rPr>
          <w:rFonts w:ascii="Times New Roman" w:eastAsia="SimSun" w:hAnsi="Times New Roman" w:cs="Times New Roman"/>
          <w:color w:val="000000"/>
        </w:rPr>
        <w:t>и лица, които не са пряко заети в съответните дружества, но имат отношение към обезпечаване на тяхното функциониране</w:t>
      </w:r>
      <w:r w:rsidRPr="003343CE">
        <w:rPr>
          <w:rFonts w:ascii="Times New Roman" w:eastAsia="SimSun" w:hAnsi="Times New Roman" w:cs="Times New Roman"/>
          <w:color w:val="000000"/>
        </w:rPr>
        <w:t xml:space="preserve">. </w:t>
      </w:r>
    </w:p>
    <w:p w14:paraId="35EA58DD" w14:textId="77777777" w:rsidR="00F321E7" w:rsidRPr="000C016A" w:rsidRDefault="00F321E7" w:rsidP="000C016A">
      <w:pPr>
        <w:pStyle w:val="a3"/>
        <w:rPr>
          <w:rFonts w:ascii="Times New Roman" w:eastAsia="SimSun" w:hAnsi="Times New Roman" w:cs="Times New Roman"/>
          <w:color w:val="000000"/>
        </w:rPr>
      </w:pPr>
    </w:p>
    <w:p w14:paraId="6A95ED6D" w14:textId="4F0B9F6A" w:rsidR="00187FE6" w:rsidRPr="00ED5CD1" w:rsidRDefault="00F321E7" w:rsidP="00784B5D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Горните</w:t>
      </w:r>
      <w:r w:rsidRPr="00ED5CD1">
        <w:rPr>
          <w:rFonts w:ascii="Times New Roman" w:eastAsia="SimSun" w:hAnsi="Times New Roman" w:cs="Times New Roman"/>
          <w:color w:val="000000"/>
        </w:rPr>
        <w:t xml:space="preserve"> </w:t>
      </w:r>
      <w:r w:rsidR="00187FE6" w:rsidRPr="00ED5CD1">
        <w:rPr>
          <w:rFonts w:ascii="Times New Roman" w:eastAsia="SimSun" w:hAnsi="Times New Roman" w:cs="Times New Roman"/>
          <w:color w:val="000000"/>
        </w:rPr>
        <w:t>заключения се базират на следните факти за профила на работната сила</w:t>
      </w:r>
      <w:r>
        <w:rPr>
          <w:rFonts w:ascii="Times New Roman" w:eastAsia="SimSun" w:hAnsi="Times New Roman" w:cs="Times New Roman"/>
          <w:color w:val="000000"/>
        </w:rPr>
        <w:t xml:space="preserve">, като в това отношение </w:t>
      </w:r>
      <w:r w:rsidR="00771A44">
        <w:rPr>
          <w:rFonts w:ascii="Times New Roman" w:eastAsia="SimSun" w:hAnsi="Times New Roman" w:cs="Times New Roman"/>
          <w:color w:val="000000"/>
        </w:rPr>
        <w:t>:</w:t>
      </w:r>
    </w:p>
    <w:p w14:paraId="14C25328" w14:textId="60B5DABE" w:rsidR="007C0A90" w:rsidRDefault="00187FE6" w:rsidP="007C0A90">
      <w:pPr>
        <w:pStyle w:val="a3"/>
        <w:numPr>
          <w:ilvl w:val="0"/>
          <w:numId w:val="23"/>
        </w:numPr>
        <w:jc w:val="both"/>
        <w:rPr>
          <w:rFonts w:ascii="Times New Roman" w:eastAsia="SimSun" w:hAnsi="Times New Roman" w:cs="Times New Roman"/>
        </w:rPr>
      </w:pPr>
      <w:r w:rsidRPr="007C0A90">
        <w:rPr>
          <w:rFonts w:ascii="Times New Roman" w:eastAsia="Calibri" w:hAnsi="Times New Roman" w:cs="Times New Roman"/>
          <w:b/>
          <w:bCs/>
        </w:rPr>
        <w:t>Особено критична е възрастовата структура на заетите</w:t>
      </w:r>
      <w:r w:rsidRPr="007C0A90">
        <w:rPr>
          <w:rFonts w:ascii="Times New Roman" w:eastAsia="Calibri" w:hAnsi="Times New Roman" w:cs="Times New Roman"/>
        </w:rPr>
        <w:t xml:space="preserve">: над 53% са на възраст над 50 години, а 81% – над 40 години. Това означава, че по-голямата част от работниците са в рискови групи за преквалификация и мобилност, което изисква целенасочени, локално адаптирани решения. </w:t>
      </w:r>
      <w:r w:rsidR="00ED5CD1" w:rsidRPr="007C0A90">
        <w:rPr>
          <w:rFonts w:ascii="Times New Roman" w:eastAsia="Calibri" w:hAnsi="Times New Roman" w:cs="Times New Roman"/>
        </w:rPr>
        <w:t xml:space="preserve"> </w:t>
      </w:r>
      <w:r w:rsidR="005C5157" w:rsidRPr="007C0A90">
        <w:rPr>
          <w:rFonts w:ascii="Times New Roman" w:eastAsia="Calibri" w:hAnsi="Times New Roman" w:cs="Times New Roman"/>
        </w:rPr>
        <w:t>До 5 години ще придобият право на пенсиониране  в област Ст. Загора 17,7% от анкетираните лица, Кюстендил – 24.6%, Перник – 19,6%.</w:t>
      </w:r>
      <w:r w:rsidR="00ED5CD1" w:rsidRPr="007C0A90">
        <w:rPr>
          <w:rFonts w:ascii="Times New Roman" w:eastAsia="Calibri" w:hAnsi="Times New Roman" w:cs="Times New Roman"/>
        </w:rPr>
        <w:t xml:space="preserve"> </w:t>
      </w:r>
      <w:r w:rsidR="00B73537" w:rsidRPr="007C0A90">
        <w:rPr>
          <w:rFonts w:ascii="Times New Roman" w:eastAsia="Calibri" w:hAnsi="Times New Roman" w:cs="Times New Roman"/>
        </w:rPr>
        <w:t>Работещите в  пенсионна възраст са</w:t>
      </w:r>
      <w:r w:rsidR="00B73537" w:rsidRPr="00B73537">
        <w:rPr>
          <w:rFonts w:ascii="Times New Roman" w:eastAsia="Calibri" w:hAnsi="Times New Roman" w:cs="Times New Roman"/>
        </w:rPr>
        <w:t xml:space="preserve"> 13,8%  от анкетираните в област Кюстендил, 13% в о</w:t>
      </w:r>
      <w:r w:rsidR="00B73537" w:rsidRPr="007C0A90">
        <w:rPr>
          <w:rFonts w:ascii="Times New Roman" w:eastAsia="Calibri" w:hAnsi="Times New Roman" w:cs="Times New Roman"/>
        </w:rPr>
        <w:t>бласт Перник. Най-малък е делът на работещите пенсионери в област Ст. Загора -</w:t>
      </w:r>
      <w:r w:rsidR="00B73537">
        <w:rPr>
          <w:rFonts w:ascii="Times New Roman" w:eastAsia="Calibri" w:hAnsi="Times New Roman" w:cs="Times New Roman"/>
        </w:rPr>
        <w:t xml:space="preserve"> </w:t>
      </w:r>
      <w:r w:rsidR="00B73537" w:rsidRPr="007C0A90">
        <w:rPr>
          <w:rFonts w:ascii="Times New Roman" w:eastAsia="Calibri" w:hAnsi="Times New Roman" w:cs="Times New Roman"/>
        </w:rPr>
        <w:t>3%.</w:t>
      </w:r>
      <w:r w:rsidR="005C5157" w:rsidRPr="007C0A90">
        <w:rPr>
          <w:rFonts w:ascii="Times New Roman" w:eastAsia="Calibri" w:hAnsi="Times New Roman" w:cs="Times New Roman"/>
        </w:rPr>
        <w:t>.</w:t>
      </w:r>
      <w:r w:rsidR="007C0A90" w:rsidRPr="007C0A90">
        <w:rPr>
          <w:rFonts w:ascii="Times New Roman" w:eastAsia="SimSun" w:hAnsi="Times New Roman" w:cs="Times New Roman"/>
        </w:rPr>
        <w:t xml:space="preserve"> Това показва, че в Кюстендил и Перник ще бъде по-лесно</w:t>
      </w:r>
      <w:r w:rsidR="00671C5C">
        <w:rPr>
          <w:rFonts w:ascii="Times New Roman" w:eastAsia="SimSun" w:hAnsi="Times New Roman" w:cs="Times New Roman"/>
        </w:rPr>
        <w:t>, като</w:t>
      </w:r>
      <w:r w:rsidR="007C0A90" w:rsidRPr="007C0A90">
        <w:rPr>
          <w:rFonts w:ascii="Times New Roman" w:eastAsia="SimSun" w:hAnsi="Times New Roman" w:cs="Times New Roman"/>
        </w:rPr>
        <w:t xml:space="preserve"> част от прехода да се осигури чрез мерки за предсрочно пенсиониране. </w:t>
      </w:r>
    </w:p>
    <w:p w14:paraId="6E3F17F2" w14:textId="77777777" w:rsidR="00F321E7" w:rsidRPr="000C016A" w:rsidRDefault="00F321E7" w:rsidP="000C016A">
      <w:pPr>
        <w:ind w:left="360"/>
        <w:jc w:val="both"/>
        <w:rPr>
          <w:rFonts w:ascii="Times New Roman" w:eastAsia="SimSun" w:hAnsi="Times New Roman" w:cs="Times New Roman"/>
        </w:rPr>
      </w:pPr>
    </w:p>
    <w:p w14:paraId="7DFCCFDD" w14:textId="77777777" w:rsidR="00187FE6" w:rsidRPr="00B27691" w:rsidRDefault="00187FE6" w:rsidP="00784B5D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ED5CD1">
        <w:rPr>
          <w:rFonts w:ascii="Times New Roman" w:eastAsia="SimSun" w:hAnsi="Times New Roman" w:cs="Times New Roman"/>
          <w:b/>
          <w:color w:val="000000"/>
        </w:rPr>
        <w:t xml:space="preserve">Същевременно, работниците демонстрират </w:t>
      </w:r>
      <w:r w:rsidRPr="00B27691">
        <w:rPr>
          <w:rFonts w:ascii="Times New Roman" w:eastAsia="SimSun" w:hAnsi="Times New Roman" w:cs="Times New Roman"/>
          <w:b/>
          <w:color w:val="000000"/>
          <w:u w:val="single"/>
        </w:rPr>
        <w:t>силна привързаност към региона и сектора, а желанието за мобилност е минимално</w:t>
      </w:r>
      <w:r w:rsidRPr="00B27691">
        <w:rPr>
          <w:rFonts w:ascii="Times New Roman" w:eastAsia="SimSun" w:hAnsi="Times New Roman" w:cs="Times New Roman"/>
          <w:color w:val="000000"/>
          <w:u w:val="single"/>
        </w:rPr>
        <w:t>:</w:t>
      </w:r>
    </w:p>
    <w:p w14:paraId="66BF432D" w14:textId="77777777" w:rsidR="00187FE6" w:rsidRPr="00187FE6" w:rsidRDefault="00187FE6" w:rsidP="00784B5D">
      <w:pPr>
        <w:numPr>
          <w:ilvl w:val="0"/>
          <w:numId w:val="5"/>
        </w:numPr>
        <w:spacing w:line="276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>Над 85% от анкетираните заявяват, че биха останали в енергийния сектор, ако им се предостави възможност – категоричен индикатор за силна професионална идентичност и желание за стабилност.</w:t>
      </w:r>
    </w:p>
    <w:p w14:paraId="5280F2C8" w14:textId="77777777" w:rsidR="00187FE6" w:rsidRPr="00187FE6" w:rsidRDefault="00187FE6" w:rsidP="00784B5D">
      <w:pPr>
        <w:numPr>
          <w:ilvl w:val="0"/>
          <w:numId w:val="5"/>
        </w:numPr>
        <w:spacing w:line="276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>Над 60% от всички участници биха приели друга дейност в същото предприятие, ако тя съответства на техните умения или бъде подкрепена с обучение.</w:t>
      </w:r>
    </w:p>
    <w:p w14:paraId="37EECFE7" w14:textId="77777777" w:rsidR="00187FE6" w:rsidRPr="009F2513" w:rsidRDefault="00187FE6" w:rsidP="00784B5D">
      <w:pPr>
        <w:numPr>
          <w:ilvl w:val="0"/>
          <w:numId w:val="5"/>
        </w:numPr>
        <w:spacing w:line="276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Стара Загора показва най-висока мобилност – 46,9% са готови да пътуват ежедневно, докато в Перник само 11,4% заявяват такава готовност. Това подчертава нуждата от различни подходи в трите региона.</w:t>
      </w:r>
      <w:r w:rsidR="005C5157" w:rsidRPr="000C01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5C5157" w:rsidRPr="009F25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 област </w:t>
      </w:r>
      <w:r w:rsidR="005C5157" w:rsidRPr="009F2513">
        <w:rPr>
          <w:rFonts w:ascii="Times New Roman" w:hAnsi="Times New Roman"/>
          <w:sz w:val="24"/>
          <w:szCs w:val="24"/>
        </w:rPr>
        <w:t>Перник и Кюстендил желанието за мобилност е минимално, защото в предприятията заетите лица са дългогодишни кадри и при тях е по-трудна нагласата за мобилност и преквалификация. Това предполага</w:t>
      </w:r>
      <w:bookmarkStart w:id="4" w:name="_GoBack"/>
      <w:bookmarkEnd w:id="4"/>
      <w:r w:rsidR="005C5157" w:rsidRPr="009F2513">
        <w:rPr>
          <w:rFonts w:ascii="Times New Roman" w:hAnsi="Times New Roman"/>
          <w:sz w:val="24"/>
          <w:szCs w:val="24"/>
        </w:rPr>
        <w:t xml:space="preserve"> нужда от по-интензивна социална подкрепа и по-дълги програми за адаптация в Перник и Кюстендил</w:t>
      </w:r>
      <w:r w:rsidR="009F2513" w:rsidRPr="009F2513">
        <w:rPr>
          <w:rFonts w:ascii="Times New Roman" w:hAnsi="Times New Roman"/>
          <w:sz w:val="24"/>
          <w:szCs w:val="24"/>
        </w:rPr>
        <w:t>.</w:t>
      </w:r>
    </w:p>
    <w:p w14:paraId="5FAAA450" w14:textId="77777777" w:rsidR="00187FE6" w:rsidRPr="00ED5CD1" w:rsidRDefault="00187FE6" w:rsidP="00784B5D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/>
        </w:rPr>
      </w:pPr>
      <w:r w:rsidRPr="00ED5CD1">
        <w:rPr>
          <w:rFonts w:ascii="Times New Roman" w:eastAsia="SimSun" w:hAnsi="Times New Roman" w:cs="Times New Roman"/>
          <w:b/>
          <w:color w:val="000000"/>
        </w:rPr>
        <w:t xml:space="preserve">По отношение на необходимите обучения, като цяло работниците проявяват </w:t>
      </w:r>
      <w:r w:rsidRPr="00ED5CD1">
        <w:rPr>
          <w:rFonts w:ascii="Times New Roman" w:eastAsia="SimSun" w:hAnsi="Times New Roman" w:cs="Times New Roman"/>
          <w:b/>
          <w:color w:val="000000"/>
          <w:u w:val="single"/>
        </w:rPr>
        <w:t>слаб до умерен интерес към обучения, предимно свързани с технически умения и с осигурена реализация след тях</w:t>
      </w:r>
      <w:r w:rsidRPr="00ED5CD1">
        <w:rPr>
          <w:rFonts w:ascii="Times New Roman" w:eastAsia="SimSun" w:hAnsi="Times New Roman" w:cs="Times New Roman"/>
          <w:b/>
          <w:color w:val="000000"/>
        </w:rPr>
        <w:t>.</w:t>
      </w:r>
    </w:p>
    <w:p w14:paraId="306E7146" w14:textId="77777777" w:rsidR="00187FE6" w:rsidRPr="00187FE6" w:rsidRDefault="00187FE6" w:rsidP="00784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Нагласите за обучение показват интерес към усъвършенстване на технически умения, като в Кюстендил и Стара Загора този дял е около 18-22%, а в Перник е по-нисък (15%). Желанието за </w:t>
      </w:r>
      <w:proofErr w:type="spellStart"/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>чуждоезикови</w:t>
      </w:r>
      <w:proofErr w:type="spellEnd"/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курсове е най-голямо в Стара Загора (39,8%). </w:t>
      </w:r>
    </w:p>
    <w:p w14:paraId="17FC469A" w14:textId="77777777" w:rsidR="00187FE6" w:rsidRPr="00187FE6" w:rsidRDefault="00187FE6" w:rsidP="00784B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C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Популярни направления за обучителни курсове</w:t>
      </w: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машинен оператор, монтажник на слънчеви панели, аналитична дейност в химическа лаборатория, специалист управление и </w:t>
      </w:r>
      <w:proofErr w:type="spellStart"/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поддържка</w:t>
      </w:r>
      <w:proofErr w:type="spellEnd"/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 газова електроцентрала, експлоатация и поддръжка на конвенционални енергийни съоръжения, счетоводство и финанси, </w:t>
      </w:r>
      <w:proofErr w:type="spellStart"/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рекултивация</w:t>
      </w:r>
      <w:proofErr w:type="spellEnd"/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(основно в Перник).</w:t>
      </w:r>
    </w:p>
    <w:p w14:paraId="442D2FF4" w14:textId="77777777" w:rsidR="00187FE6" w:rsidRPr="00187FE6" w:rsidRDefault="00187FE6" w:rsidP="00784B5D">
      <w:pPr>
        <w:numPr>
          <w:ilvl w:val="0"/>
          <w:numId w:val="6"/>
        </w:numPr>
        <w:spacing w:after="200" w:line="276" w:lineRule="auto"/>
        <w:ind w:left="141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Значително предпочитание има и към специфичните дигитални умения, особено в Стара Загора (10,6%), докато базовите дигитални умения са с по-умерени проценти, като най-високи са в Кюстендил (9,5%) и Стара Загора (6,2%). </w:t>
      </w:r>
    </w:p>
    <w:p w14:paraId="14956B5A" w14:textId="77777777" w:rsidR="00187FE6" w:rsidRPr="00187FE6" w:rsidRDefault="00187FE6" w:rsidP="00784B5D">
      <w:pPr>
        <w:spacing w:line="276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7FE6">
        <w:rPr>
          <w:rFonts w:ascii="Times New Roman" w:eastAsia="SimSun" w:hAnsi="Times New Roman" w:cs="Times New Roman"/>
          <w:sz w:val="24"/>
          <w:szCs w:val="24"/>
          <w:lang w:eastAsia="zh-CN"/>
        </w:rPr>
        <w:t>Общата картина отразява различни нагласи и приоритети към професионалното развитие, които следва да бъдат взети предвид при планиране на обучения и квалификации в трите региона.</w:t>
      </w:r>
    </w:p>
    <w:p w14:paraId="434408A7" w14:textId="72368814" w:rsidR="00187FE6" w:rsidRPr="00BC071C" w:rsidRDefault="0094579B" w:rsidP="00784B5D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/>
          <w:u w:val="single"/>
        </w:rPr>
      </w:pPr>
      <w:r w:rsidRPr="00BC071C">
        <w:rPr>
          <w:rFonts w:ascii="Times New Roman" w:eastAsia="Times New Roman" w:hAnsi="Times New Roman" w:cs="Times New Roman"/>
          <w:b/>
          <w:u w:val="single"/>
          <w:lang w:eastAsia="bg-BG"/>
        </w:rPr>
        <w:t>Доходи</w:t>
      </w:r>
      <w:r w:rsidR="00187FE6" w:rsidRPr="00BC071C">
        <w:rPr>
          <w:rFonts w:ascii="Times New Roman" w:eastAsia="SimSun" w:hAnsi="Times New Roman" w:cs="Times New Roman"/>
          <w:b/>
          <w:color w:val="000000"/>
          <w:u w:val="single"/>
        </w:rPr>
        <w:t>:</w:t>
      </w:r>
    </w:p>
    <w:p w14:paraId="44B0A5D2" w14:textId="077867F7" w:rsidR="00187FE6" w:rsidRPr="0094579B" w:rsidRDefault="00187FE6" w:rsidP="00784B5D">
      <w:pPr>
        <w:numPr>
          <w:ilvl w:val="0"/>
          <w:numId w:val="7"/>
        </w:numPr>
        <w:spacing w:before="100" w:beforeAutospacing="1" w:after="100" w:afterAutospacing="1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отношение на доходите</w:t>
      </w:r>
      <w:r w:rsidR="00ED5C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Перник доминира с 43% от работещите с брутна заплата между 1501 и 2000 лв., заплати над </w:t>
      </w:r>
      <w:r w:rsidRPr="00187FE6">
        <w:rPr>
          <w:rFonts w:ascii="Times New Roman" w:eastAsia="Times New Roman" w:hAnsi="Times New Roman" w:cs="Times New Roman"/>
          <w:sz w:val="24"/>
          <w:szCs w:val="24"/>
          <w:lang w:eastAsia="bg-BG"/>
        </w:rPr>
        <w:t>2500 лв</w:t>
      </w: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получават до 8% от картографираните лица в Перник, докато в Стара Загора почти 24% получават над 3500 лв., което отразява по-разнообразна и по-добре платена икономика.</w:t>
      </w:r>
      <w:r w:rsidR="00671C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71C5C" w:rsidRPr="00671C5C">
        <w:rPr>
          <w:rFonts w:ascii="Times New Roman" w:hAnsi="Times New Roman" w:cs="Times New Roman"/>
          <w:sz w:val="24"/>
          <w:szCs w:val="24"/>
        </w:rPr>
        <w:t>Тези различия могат да се отразят на икономическото благосъстояние и мотивацията за обучение и професионално развитие в отделните региони</w:t>
      </w:r>
      <w:r w:rsidR="00671C5C">
        <w:rPr>
          <w:rFonts w:ascii="Times New Roman" w:hAnsi="Times New Roman" w:cs="Times New Roman"/>
          <w:sz w:val="24"/>
          <w:szCs w:val="24"/>
        </w:rPr>
        <w:t>.</w:t>
      </w:r>
    </w:p>
    <w:p w14:paraId="70C6AA0E" w14:textId="77777777" w:rsidR="0094579B" w:rsidRPr="0094579B" w:rsidRDefault="0094579B" w:rsidP="0094579B">
      <w:pPr>
        <w:numPr>
          <w:ilvl w:val="0"/>
          <w:numId w:val="7"/>
        </w:numPr>
        <w:spacing w:before="100" w:beforeAutospacing="1" w:after="100" w:afterAutospacing="1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7FE6">
        <w:rPr>
          <w:rFonts w:ascii="Times New Roman" w:eastAsia="Times New Roman" w:hAnsi="Times New Roman" w:cs="Times New Roman"/>
          <w:sz w:val="24"/>
          <w:szCs w:val="24"/>
          <w:lang w:eastAsia="bg-BG"/>
        </w:rPr>
        <w:t>Около 23% от домакинствата в Стара Загора и 18,7% в Кюстендил имат повече от един член, зает в сектора – над една пета от анкетираните са изложени на пот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енциална двойна загуба на доход, </w:t>
      </w:r>
      <w:r w:rsidRPr="00187FE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увеличава риска от двойна безработица при затваряне на производства, особено в Стара Загора.</w:t>
      </w:r>
    </w:p>
    <w:p w14:paraId="47D63484" w14:textId="77777777" w:rsidR="006D17E3" w:rsidRPr="00BC071C" w:rsidRDefault="006D17E3" w:rsidP="00784B5D">
      <w:pPr>
        <w:keepNext/>
        <w:keepLines/>
        <w:spacing w:before="120" w:after="120" w:line="276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CN"/>
        </w:rPr>
      </w:pPr>
      <w:bookmarkStart w:id="5" w:name="_Toc203509998"/>
      <w:bookmarkStart w:id="6" w:name="_Toc203509996"/>
      <w:r w:rsidRPr="00BC071C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CN"/>
        </w:rPr>
        <w:lastRenderedPageBreak/>
        <w:t>Препоръки</w:t>
      </w:r>
      <w:bookmarkEnd w:id="5"/>
      <w:r w:rsidRPr="00BC071C">
        <w:rPr>
          <w:rFonts w:ascii="Times New Roman" w:eastAsiaTheme="majorEastAsia" w:hAnsi="Times New Roman" w:cs="Times New Roman"/>
          <w:b/>
          <w:sz w:val="24"/>
          <w:szCs w:val="24"/>
          <w:u w:val="single"/>
          <w:lang w:eastAsia="zh-CN"/>
        </w:rPr>
        <w:t xml:space="preserve"> </w:t>
      </w:r>
    </w:p>
    <w:p w14:paraId="7FA993E0" w14:textId="77777777" w:rsidR="00541651" w:rsidRDefault="006D17E3" w:rsidP="00784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Представените препоръки отразяват реалните нужди, тревоги и предложен</w:t>
      </w:r>
      <w:r w:rsidR="008469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ия, изразени както от работници </w:t>
      </w: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от мениджъри в рамките на </w:t>
      </w:r>
      <w:r w:rsidRPr="00BC07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проведените групови дискусии. </w:t>
      </w:r>
      <w:r w:rsidR="005416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одчертава</w:t>
      </w:r>
      <w:r w:rsidR="005416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</w:t>
      </w:r>
      <w:r w:rsidRPr="00187F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необходимостта от координирани действия между държавата, местната власт, бизнеса и социалните партньори, както и от целенасочена подкрепа за хората – чрез обучение, заетост, социална сигурност и участие в процесите на планиране.</w:t>
      </w:r>
    </w:p>
    <w:p w14:paraId="279AF61B" w14:textId="77777777" w:rsidR="00541651" w:rsidRDefault="00541651" w:rsidP="00784B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EE03BDA" w14:textId="7A6BA71B" w:rsidR="006D17E3" w:rsidRDefault="00541651" w:rsidP="00B77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4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Въз основа на проведените дискусии се о</w:t>
      </w:r>
      <w:r w:rsidR="00846980" w:rsidRPr="0054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чертават следните ключови препоръки</w:t>
      </w:r>
      <w:r w:rsidR="00553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за стъпки на всички съответни нива относно</w:t>
      </w:r>
      <w:r w:rsidR="00846980" w:rsidRPr="0054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: </w:t>
      </w:r>
    </w:p>
    <w:p w14:paraId="7B65166C" w14:textId="77777777" w:rsidR="000E1FAE" w:rsidRPr="00187FE6" w:rsidRDefault="000E1FAE" w:rsidP="00B770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Редовна и прозрачна информация относно бъдещите стъпки в </w:t>
      </w:r>
      <w:r w:rsidR="00AD27D3"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енергийния </w:t>
      </w:r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преход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AD27D3"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Информираност за всякакв</w:t>
      </w:r>
      <w:r w:rsidR="00AD27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 решения, касаещи работните </w:t>
      </w:r>
      <w:r w:rsidR="00AD27D3"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места</w:t>
      </w:r>
      <w:r w:rsidR="00AD27D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F54A87" w:rsidRPr="00F54A8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Институционализиране на социален диалог и участие на заинтересованите страни. </w:t>
      </w:r>
      <w:r w:rsidR="00F54A8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Създаване на</w:t>
      </w:r>
      <w:r w:rsidR="00F54A87" w:rsidRPr="00F54A8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постоянни и структурирани механизми за участие на работници, мениджъри, синдикати, общини и граждански организации в процесите на вземане на решения, свързани с прехода</w:t>
      </w:r>
      <w:r w:rsidR="00F54A8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14:paraId="701A33BA" w14:textId="50D6553A" w:rsidR="00846980" w:rsidRDefault="00BC071C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C0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Приоритетно обучение и повишаване на </w:t>
      </w:r>
      <w:r w:rsidR="00846980" w:rsidRPr="00BC0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квалификация</w:t>
      </w:r>
      <w:r w:rsidRPr="00BC0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та</w:t>
      </w:r>
      <w:r w:rsidR="00846980" w:rsidRPr="00BC07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на заетите с фокус върху практическа приложимост</w:t>
      </w:r>
      <w:r w:rsidR="00846980"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Да се разработят и предлагат краткосрочни, сертифицирани обучения, съобразени с възрастовата структура и настоящите умения на работната сила. Обученията трябва да включват и „меки умения“ – комуникация, работа в екип, дигитална грамотност. </w:t>
      </w:r>
      <w:r w:rsidR="00541651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="00846980"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ъдържанието на обученията </w:t>
      </w:r>
      <w:r w:rsidR="005416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следва </w:t>
      </w:r>
      <w:r w:rsidR="00846980" w:rsidRPr="00187FE6">
        <w:rPr>
          <w:rFonts w:ascii="Times New Roman" w:eastAsia="Calibri" w:hAnsi="Times New Roman" w:cs="Times New Roman"/>
          <w:sz w:val="24"/>
          <w:szCs w:val="24"/>
          <w:lang w:eastAsia="zh-CN"/>
        </w:rPr>
        <w:t>да бъде тясно обвързано с реални работни позиции в региона и с очакваното развитие на зелени и устойчиви индустрии.</w:t>
      </w:r>
    </w:p>
    <w:p w14:paraId="739B8892" w14:textId="77777777" w:rsidR="00AD27D3" w:rsidRPr="00187FE6" w:rsidRDefault="00AD27D3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Подкрепа за млади работници и стажантски програми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Да се въведат специални програми за задържане и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ивличане на млади хора в регионите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чрез стажантски позиции, </w:t>
      </w:r>
      <w:proofErr w:type="spellStart"/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дуално</w:t>
      </w:r>
      <w:proofErr w:type="spellEnd"/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обучение и субсидирана заетост в нововъзникващи сектори. Задържането на младите изисква и инвестиции в качество на живот, достъпни жилища и социални услуги.</w:t>
      </w:r>
    </w:p>
    <w:p w14:paraId="30D33995" w14:textId="77777777" w:rsidR="00846980" w:rsidRPr="00187FE6" w:rsidRDefault="00846980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Подкрепа за работници в </w:t>
      </w:r>
      <w:proofErr w:type="spellStart"/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предпенсионна</w:t>
      </w:r>
      <w:proofErr w:type="spellEnd"/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възраст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Да се предвидят специални мерки за служители над 55-годишна възраст, които са с ограничена мобилност и ниска мотивация за преквалификация. Това включва частична заетост, финансови стимули, възможност за „гъвкаво пенсиониране“ и участие в подпомагащи дейности. Необходимо е да се създадат целеви програми за преход към по-леки и подкрепящи роли в рамките на съществуващите предприятия, които да запазят социалната и икономическа стабилност.</w:t>
      </w:r>
    </w:p>
    <w:p w14:paraId="3254DC60" w14:textId="77777777" w:rsidR="00846980" w:rsidRPr="00187FE6" w:rsidRDefault="00846980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Запазване на индустриалната заетост чрез технологично обновление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Да се насърчава трансформацията на съществуващи производства чрез инвестиции в технологии за </w:t>
      </w:r>
      <w:r w:rsidRPr="00BC071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улавяне на въглерод, производство на водород или други </w:t>
      </w:r>
      <w:proofErr w:type="spellStart"/>
      <w:r w:rsidRPr="00BC071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нисковъглеродни</w:t>
      </w:r>
      <w:proofErr w:type="spellEnd"/>
      <w:r w:rsidRPr="00BC071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решения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Държавата да поеме водеща роля в осигуряването на преходни механизми и партньорства с международни инвеститори.</w:t>
      </w:r>
    </w:p>
    <w:p w14:paraId="7C972125" w14:textId="77777777" w:rsidR="00846980" w:rsidRDefault="00846980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BC07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Развитие на местната икономика чрез привличане на нови инвеститори</w:t>
      </w:r>
      <w:r w:rsidR="008160DE" w:rsidRPr="00BC071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  <w:r w:rsidR="008160DE" w:rsidRPr="008160D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Местната власт и държавата да насочат усилия към привличане на устойчиви и зелени бизнеси в региона, за да се разширят възможностите за 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аетост.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За да се 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 xml:space="preserve">постигне дългосрочен ефект, следва да се </w:t>
      </w:r>
      <w:r w:rsidRPr="00187FE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разработят интегрирани териториални инвестиционни планове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 участието на местния бизнес, образователни институции и социални партньори.</w:t>
      </w:r>
    </w:p>
    <w:p w14:paraId="4CDF7337" w14:textId="77777777" w:rsidR="00846980" w:rsidRDefault="00846980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Преодоляване на ограниченията за мобилност. Да се развие обществен транспорт между населени места и индустриални зони с оглед на ниската готовност за пътуване на големи разстояния.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ъздаване на регионални транспортни схеми, базирани на нуждите на работниците и интегрирани с работното време на предприятията.</w:t>
      </w:r>
    </w:p>
    <w:p w14:paraId="3353D8AD" w14:textId="77777777" w:rsidR="00EE6E03" w:rsidRPr="00187FE6" w:rsidRDefault="00EE6E03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E2A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Финансова подкрепа за мобилност и започване на работа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Да се създадат схеми за подпомагане на работници, които сменят работното си място, като се покриват транспортни разходи, наеми или други начални разходи. Това е особено важно за хора, готови да работят на повече от 50 км от дома, но без икономически възможности да поемат свързаните разходи.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одобни стимули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са необходими 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 привличане на работна сила.</w:t>
      </w:r>
    </w:p>
    <w:p w14:paraId="32AC3A91" w14:textId="77777777" w:rsidR="008160DE" w:rsidRPr="00187FE6" w:rsidRDefault="008160DE" w:rsidP="00784B5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Специализирана помощ от Агенцията по заетостта за започване на нова работа. Да се активира и разшири участието на Агенцията по заетостта чрез предоставяне на индивидуални планове за заетост, кариерно консултиране, помощ при кандидатстване за работа и посредничество с работодатели. Необходими са и мобилни екипи в по-малки населени места.</w:t>
      </w:r>
    </w:p>
    <w:p w14:paraId="144F9EBA" w14:textId="77777777" w:rsidR="00C1563D" w:rsidRPr="00E97BD1" w:rsidRDefault="00C1563D" w:rsidP="00D37E39">
      <w:pPr>
        <w:keepNext/>
        <w:keepLines/>
        <w:spacing w:before="240" w:after="240" w:line="276" w:lineRule="auto"/>
        <w:jc w:val="both"/>
        <w:outlineLvl w:val="2"/>
        <w:rPr>
          <w:rFonts w:ascii="Times New Roman" w:eastAsiaTheme="majorEastAsia" w:hAnsi="Times New Roman" w:cs="Times New Roman"/>
          <w:bCs/>
          <w:iCs/>
          <w:sz w:val="24"/>
          <w:szCs w:val="24"/>
          <w:lang w:eastAsia="zh-CN"/>
        </w:rPr>
      </w:pPr>
      <w:bookmarkStart w:id="7" w:name="_Toc203510000"/>
      <w:r w:rsidRPr="00E97BD1">
        <w:rPr>
          <w:rFonts w:ascii="Times New Roman" w:hAnsi="Times New Roman" w:cs="Times New Roman"/>
          <w:sz w:val="24"/>
          <w:szCs w:val="24"/>
        </w:rPr>
        <w:t xml:space="preserve">С оглед развитие на политиките за адресиране на предизвикателствата на пазара на труда, свързани с прехода към климатично неутрална икономика на областта </w:t>
      </w:r>
      <w:r w:rsidR="003410E6">
        <w:rPr>
          <w:rFonts w:ascii="Times New Roman" w:hAnsi="Times New Roman" w:cs="Times New Roman"/>
          <w:sz w:val="24"/>
          <w:szCs w:val="24"/>
        </w:rPr>
        <w:t xml:space="preserve">и </w:t>
      </w:r>
      <w:r w:rsidRPr="00E97BD1">
        <w:rPr>
          <w:rFonts w:ascii="Times New Roman" w:hAnsi="Times New Roman" w:cs="Times New Roman"/>
          <w:sz w:val="24"/>
          <w:szCs w:val="24"/>
        </w:rPr>
        <w:t xml:space="preserve">въз основа на </w:t>
      </w:r>
      <w:r w:rsidRPr="00E97BD1">
        <w:rPr>
          <w:rFonts w:ascii="Times New Roman" w:hAnsi="Times New Roman" w:cs="Times New Roman"/>
          <w:color w:val="000000"/>
          <w:sz w:val="24"/>
          <w:szCs w:val="24"/>
        </w:rPr>
        <w:t>обобщените данни от качественото и количественото проучване със заетите лица в засегнатите предприятия в трите области предлагаме следните препоръки:</w:t>
      </w:r>
    </w:p>
    <w:p w14:paraId="4D88F513" w14:textId="77777777" w:rsidR="006D17E3" w:rsidRPr="002E2A26" w:rsidRDefault="00D37E39" w:rsidP="00784B5D">
      <w:pPr>
        <w:keepNext/>
        <w:keepLines/>
        <w:spacing w:before="240" w:after="240" w:line="276" w:lineRule="auto"/>
        <w:outlineLvl w:val="2"/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zh-CN"/>
        </w:rPr>
      </w:pPr>
      <w:r w:rsidRPr="002E2A26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zh-CN"/>
        </w:rPr>
        <w:t>Препоръки к</w:t>
      </w:r>
      <w:r w:rsidR="006D17E3" w:rsidRPr="002E2A26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zh-CN"/>
        </w:rPr>
        <w:t>ъм правителството</w:t>
      </w:r>
      <w:bookmarkEnd w:id="7"/>
      <w:r w:rsidRPr="002E2A26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zh-CN"/>
        </w:rPr>
        <w:t xml:space="preserve">: </w:t>
      </w:r>
    </w:p>
    <w:p w14:paraId="40DB43F9" w14:textId="5415C1A3" w:rsidR="007E4AF3" w:rsidRDefault="007E4AF3" w:rsidP="007E4AF3">
      <w:pPr>
        <w:numPr>
          <w:ilvl w:val="0"/>
          <w:numId w:val="13"/>
        </w:numPr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2A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Създаване на междуведомствен орган за координация на прехода на въглищните региони</w:t>
      </w:r>
      <w:r w:rsidRPr="00187F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с представителство от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министерствата на </w:t>
      </w:r>
      <w:r w:rsidRPr="00187F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енергетиката,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труда и социалната политика</w:t>
      </w:r>
      <w:r w:rsidR="008D1149">
        <w:rPr>
          <w:rFonts w:ascii="Times New Roman" w:eastAsia="SimSun" w:hAnsi="Times New Roman" w:cs="Times New Roman"/>
          <w:sz w:val="24"/>
          <w:szCs w:val="24"/>
          <w:lang w:eastAsia="zh-CN"/>
        </w:rPr>
        <w:t>, икономиката и регионалното развитие</w:t>
      </w:r>
      <w:r w:rsidRPr="00187FE6">
        <w:rPr>
          <w:rFonts w:ascii="Times New Roman" w:eastAsia="SimSun" w:hAnsi="Times New Roman" w:cs="Times New Roman"/>
          <w:sz w:val="24"/>
          <w:szCs w:val="24"/>
          <w:lang w:eastAsia="zh-CN"/>
        </w:rPr>
        <w:t>. Този орган да отговаря за стратегическото планиране, координацията на инвестициите и мониторинга на изпълнението на мерките, като докладва периодично пред Народното събрание.</w:t>
      </w:r>
    </w:p>
    <w:p w14:paraId="1A2EB9E3" w14:textId="7AE19A64" w:rsidR="006D17E3" w:rsidRPr="008D1149" w:rsidRDefault="005530DC" w:rsidP="008D1149">
      <w:pPr>
        <w:numPr>
          <w:ilvl w:val="0"/>
          <w:numId w:val="13"/>
        </w:numPr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2A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Разработване и приемане </w:t>
      </w:r>
      <w:r w:rsidR="008D1149" w:rsidRPr="002E2A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на </w:t>
      </w:r>
      <w:r w:rsidRPr="002E2A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нормативен </w:t>
      </w:r>
      <w:r w:rsidR="008D1149" w:rsidRPr="002E2A2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пакет за справедлив преход,</w:t>
      </w:r>
      <w:r w:rsidR="008D1149" w:rsidRPr="00187F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който да регламентира правата на работниците в засегнатите отрасли, да осигурява социална защита, механизми за преквалификация и насърчаване на заетостта в новите сектори. В този пакет да се включат задължения за ползване на ресурси от Фонда за справедлив преход, свързани с конкретни цели и индикатори</w:t>
      </w:r>
      <w:r w:rsidR="008D11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D1149" w:rsidRPr="008D1149">
        <w:rPr>
          <w:rFonts w:ascii="Times New Roman" w:eastAsia="SimSun" w:hAnsi="Times New Roman" w:cs="Times New Roman"/>
          <w:sz w:val="24"/>
          <w:szCs w:val="24"/>
          <w:lang w:eastAsia="zh-CN"/>
        </w:rPr>
        <w:t>с насоченост към запазване на работните места и модерно индустриално развитие в регионите.</w:t>
      </w:r>
      <w:r w:rsidR="008D11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D11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Разработване</w:t>
      </w:r>
      <w:r w:rsidR="006D17E3" w:rsidRPr="008D11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спешно приемане на цялостна национална стратегия, която съчетава енергийна трансформация с регионално насочени социално-икономически политики</w:t>
      </w:r>
      <w:r w:rsidR="003675A4" w:rsidRPr="008D11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която да стъпва на разработените ТПСП и да отчита конкретните резултати от картографирането</w:t>
      </w:r>
      <w:r w:rsidR="006D17E3" w:rsidRPr="008D11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14:paraId="0D9E0718" w14:textId="5651B37B" w:rsidR="006D17E3" w:rsidRPr="00187FE6" w:rsidRDefault="006D17E3" w:rsidP="00784B5D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E2A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Разработване на пазарно релевантни и социално адаптирани програми за </w:t>
      </w:r>
      <w:r w:rsidR="002E2A26" w:rsidRPr="002E2A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повишаване на квалификацията, </w:t>
      </w:r>
      <w:r w:rsidRPr="002E2A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преквалификация и професионална мобилност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Особен акцент трябва да се постави върху развитието на умения, свързани с зелената икономика, дигитализацията и грижата за хората. Изключително важно е обучителните формати да бъдат съобразени с възрастта, образователното равнищ</w:t>
      </w:r>
      <w:r w:rsidR="005E7C7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 и мобилността на участниците, като се използват данните от проведеното проучване на уменията и нагласите за развитие на работещите във трите въглищни региона.</w:t>
      </w:r>
    </w:p>
    <w:p w14:paraId="0282DE18" w14:textId="77C99AFE" w:rsidR="006D17E3" w:rsidRPr="00187FE6" w:rsidRDefault="006D17E3" w:rsidP="00784B5D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E2A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Създаване на предпоставки за привличане на стратегически инвеститори и развитие на нови икономически направления.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Това включва изграждане на индустриални зони, данъчни и регулаторни стимули</w:t>
      </w:r>
      <w:r w:rsidR="003675A4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675A4" w:rsidRPr="00AB469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 развитие на нови предприятия или клонове на съществуващи големи предприятия</w:t>
      </w:r>
      <w:r w:rsidRPr="00AB469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целеви инфраструктурни инвестиции</w:t>
      </w:r>
      <w:r w:rsidR="003675A4" w:rsidRPr="00AB469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 енергийни и транспортни мрежи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сътрудничество с международни финансови институции. Успехът на прехода зависи от способността да се създаде нова икономическа база, способна да осигури качествена и дългосрочна з</w:t>
      </w:r>
      <w:r w:rsid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аетост за засегнатото население, на базата на съществуващия ресурсен и човешки потенциал.</w:t>
      </w:r>
    </w:p>
    <w:p w14:paraId="110B7B14" w14:textId="77777777" w:rsidR="006D17E3" w:rsidRDefault="006D17E3" w:rsidP="00784B5D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E2A2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Оценка и осигуряване на достатъчен финансов ресурс за социални разходи, включително предсрочно пенсиониране на работници с оставащи до 5 години до навършване на пенсионна възраст</w:t>
      </w:r>
      <w:r w:rsidRPr="00187FE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Подобна мярка следва да бъде включена в рамките на социалната защита при преход, като тя отчита не само икономическите, но и дълбоко човешките измерения на процеса на трансформация. Предсрочното пенсиониране може да изпълни буферна роля и да редуцира социалното напрежение в най-засегнатите общности.</w:t>
      </w:r>
    </w:p>
    <w:p w14:paraId="1A6EA6B7" w14:textId="57E03085" w:rsidR="007E4AF3" w:rsidRDefault="00CC1637" w:rsidP="00CC1637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Приоритизиране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на критерии</w:t>
      </w:r>
      <w:r w:rsidR="00AB4697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те от процедурите </w:t>
      </w:r>
      <w:r w:rsidR="006D17E3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 Фонда за справедлив преход (ФСП)</w:t>
      </w:r>
      <w:r w:rsidR="00AB4697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</w:t>
      </w:r>
      <w:r w:rsidR="003675A4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разработвания </w:t>
      </w:r>
      <w:r w:rsidR="00AB4697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 момента </w:t>
      </w:r>
      <w:r w:rsidR="003675A4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Социален план за климата </w:t>
      </w:r>
      <w:r w:rsidR="00AB4697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така, че </w:t>
      </w:r>
      <w:r w:rsidR="006D17E3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да отразяват конкретно нуждите на работещите в засегнатите отрасли. Необходимо е приоритетно да се включат механизми за насочване на финансирането към проекти, които га</w:t>
      </w:r>
      <w:r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рантират пряка заетост на освободени </w:t>
      </w:r>
      <w:r w:rsidR="006D17E3" w:rsidRPr="00CC163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работници от въглищните предприятия. </w:t>
      </w:r>
    </w:p>
    <w:p w14:paraId="426545B1" w14:textId="62CEBA5D" w:rsidR="006D17E3" w:rsidRPr="0065200C" w:rsidRDefault="006D17E3" w:rsidP="0065200C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5200C">
        <w:rPr>
          <w:rFonts w:ascii="Times New Roman" w:eastAsia="SimSun" w:hAnsi="Times New Roman" w:cs="Times New Roman"/>
          <w:sz w:val="24"/>
          <w:szCs w:val="24"/>
          <w:lang w:eastAsia="zh-CN"/>
        </w:rPr>
        <w:t>Въвеждане на механизъм за публичен контрол и прозрачност, чрез създаване на онлайн платформа, където да се публикуват подробни данни за напредъка по проектите, финансовите разходи и резултатите от реализираните мерки. Така ще се гаран</w:t>
      </w:r>
      <w:r w:rsidR="0065200C">
        <w:rPr>
          <w:rFonts w:ascii="Times New Roman" w:eastAsia="SimSun" w:hAnsi="Times New Roman" w:cs="Times New Roman"/>
          <w:sz w:val="24"/>
          <w:szCs w:val="24"/>
          <w:lang w:eastAsia="zh-CN"/>
        </w:rPr>
        <w:t>тира, че средствата не се усвояват</w:t>
      </w:r>
      <w:r w:rsidRPr="006520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без реална полза за работещите и регионите.</w:t>
      </w:r>
    </w:p>
    <w:p w14:paraId="422F5C29" w14:textId="77777777" w:rsidR="006D17E3" w:rsidRPr="00E97749" w:rsidRDefault="006D17E3" w:rsidP="0065200C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5200C">
        <w:rPr>
          <w:rFonts w:ascii="Times New Roman" w:eastAsia="SimSun" w:hAnsi="Times New Roman" w:cs="Times New Roman"/>
          <w:sz w:val="24"/>
          <w:szCs w:val="24"/>
          <w:lang w:eastAsia="zh-CN"/>
        </w:rPr>
        <w:t>Приемане на законови норми за ангажиране на местните общности и синдикатите в процеса на вземане на решения, включително чрез задължително провеждане на обществени консултации и механизми за включване на работниците и мениджърите в планирането и мониторинга на прехода.</w:t>
      </w:r>
    </w:p>
    <w:p w14:paraId="2DEF67F6" w14:textId="77777777" w:rsidR="006D17E3" w:rsidRPr="00370DC4" w:rsidRDefault="006D17E3" w:rsidP="00E97749">
      <w:pPr>
        <w:numPr>
          <w:ilvl w:val="0"/>
          <w:numId w:val="22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97749">
        <w:rPr>
          <w:rFonts w:ascii="Times New Roman" w:eastAsia="SimSun" w:hAnsi="Times New Roman" w:cs="Times New Roman"/>
          <w:sz w:val="24"/>
          <w:szCs w:val="24"/>
          <w:lang w:eastAsia="zh-CN"/>
        </w:rPr>
        <w:t>Въвеждане на финансови стимули и гаранции за инвеститорите, насочени към създаване на устойчива икономика в засегнатите региони, с особено внимание към индустриите с нисък въглероден отпечатък, иновациите и модернизацията.</w:t>
      </w:r>
    </w:p>
    <w:p w14:paraId="4611ECF5" w14:textId="77777777" w:rsidR="00370DC4" w:rsidRPr="00E97749" w:rsidRDefault="00370DC4" w:rsidP="00370DC4">
      <w:pPr>
        <w:spacing w:before="240"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0D6DCDB7" w14:textId="2235D075" w:rsidR="005530DC" w:rsidRDefault="006D17E3" w:rsidP="00031B0E">
      <w:pPr>
        <w:spacing w:line="276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7FE6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Тези мерки изискват неотложна политическа ангажираност и съгласувани усилия на всички нива на управление. Необходима е отговорност, прозрачност и дългосрочно планиране, за да не допуснем социални и икономически кризи, да гарантираме запазване на заетостта и енергийна сигурност и да превърнем предизвикателствата в нови възможности за развитие.</w:t>
      </w:r>
      <w:bookmarkEnd w:id="6"/>
    </w:p>
    <w:sectPr w:rsidR="005530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F09C9" w14:textId="77777777" w:rsidR="00F04E20" w:rsidRDefault="00F04E20" w:rsidP="00EF0C84">
      <w:pPr>
        <w:spacing w:after="0" w:line="240" w:lineRule="auto"/>
      </w:pPr>
      <w:r>
        <w:separator/>
      </w:r>
    </w:p>
  </w:endnote>
  <w:endnote w:type="continuationSeparator" w:id="0">
    <w:p w14:paraId="4686D795" w14:textId="77777777" w:rsidR="00F04E20" w:rsidRDefault="00F04E20" w:rsidP="00EF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288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E4740" w14:textId="14B509B2" w:rsidR="00B24CE4" w:rsidRDefault="00B24CE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9B4702" w14:textId="77777777" w:rsidR="00B24CE4" w:rsidRDefault="00B24C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A3A2A" w14:textId="77777777" w:rsidR="00F04E20" w:rsidRDefault="00F04E20" w:rsidP="00EF0C84">
      <w:pPr>
        <w:spacing w:after="0" w:line="240" w:lineRule="auto"/>
      </w:pPr>
      <w:r>
        <w:separator/>
      </w:r>
    </w:p>
  </w:footnote>
  <w:footnote w:type="continuationSeparator" w:id="0">
    <w:p w14:paraId="5FD0E529" w14:textId="77777777" w:rsidR="00F04E20" w:rsidRDefault="00F04E20" w:rsidP="00EF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E3"/>
    <w:multiLevelType w:val="hybridMultilevel"/>
    <w:tmpl w:val="CBD05F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2595"/>
    <w:multiLevelType w:val="hybridMultilevel"/>
    <w:tmpl w:val="13C6F9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15CE7"/>
    <w:multiLevelType w:val="multilevel"/>
    <w:tmpl w:val="BF8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E63A9"/>
    <w:multiLevelType w:val="hybridMultilevel"/>
    <w:tmpl w:val="2CD668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A79"/>
    <w:multiLevelType w:val="hybridMultilevel"/>
    <w:tmpl w:val="8422A3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46FB"/>
    <w:multiLevelType w:val="hybridMultilevel"/>
    <w:tmpl w:val="AFFE58F2"/>
    <w:lvl w:ilvl="0" w:tplc="9B58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0F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0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21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4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01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63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6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4A3113"/>
    <w:multiLevelType w:val="multilevel"/>
    <w:tmpl w:val="1B84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642E1"/>
    <w:multiLevelType w:val="multilevel"/>
    <w:tmpl w:val="34A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177671"/>
    <w:multiLevelType w:val="hybridMultilevel"/>
    <w:tmpl w:val="2BE431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4B456F"/>
    <w:multiLevelType w:val="hybridMultilevel"/>
    <w:tmpl w:val="D44AC7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37D4F"/>
    <w:multiLevelType w:val="multilevel"/>
    <w:tmpl w:val="129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039B5"/>
    <w:multiLevelType w:val="hybridMultilevel"/>
    <w:tmpl w:val="9BDCE14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543C70"/>
    <w:multiLevelType w:val="hybridMultilevel"/>
    <w:tmpl w:val="C15EDDC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1E56D6D"/>
    <w:multiLevelType w:val="hybridMultilevel"/>
    <w:tmpl w:val="633A1F1E"/>
    <w:lvl w:ilvl="0" w:tplc="AEFEF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DD3E68"/>
    <w:multiLevelType w:val="hybridMultilevel"/>
    <w:tmpl w:val="C49C3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A0180"/>
    <w:multiLevelType w:val="hybridMultilevel"/>
    <w:tmpl w:val="8930987E"/>
    <w:lvl w:ilvl="0" w:tplc="8D940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D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00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E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2E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ED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04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6E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80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ED71141"/>
    <w:multiLevelType w:val="hybridMultilevel"/>
    <w:tmpl w:val="5A421E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03DBB"/>
    <w:multiLevelType w:val="hybridMultilevel"/>
    <w:tmpl w:val="020AB1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76AD9"/>
    <w:multiLevelType w:val="hybridMultilevel"/>
    <w:tmpl w:val="38FC8C12"/>
    <w:lvl w:ilvl="0" w:tplc="808E69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 Emoj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DCD"/>
    <w:multiLevelType w:val="hybridMultilevel"/>
    <w:tmpl w:val="DC4E2B9E"/>
    <w:lvl w:ilvl="0" w:tplc="9C501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0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21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9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4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6C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6E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63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23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E345656"/>
    <w:multiLevelType w:val="hybridMultilevel"/>
    <w:tmpl w:val="B01810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1531B"/>
    <w:multiLevelType w:val="hybridMultilevel"/>
    <w:tmpl w:val="AF1AF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4C5"/>
    <w:multiLevelType w:val="hybridMultilevel"/>
    <w:tmpl w:val="3540433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1420"/>
    <w:multiLevelType w:val="hybridMultilevel"/>
    <w:tmpl w:val="78DAE5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E1B48"/>
    <w:multiLevelType w:val="hybridMultilevel"/>
    <w:tmpl w:val="9D2C2C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C7B09"/>
    <w:multiLevelType w:val="hybridMultilevel"/>
    <w:tmpl w:val="D29C4E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A3B85"/>
    <w:multiLevelType w:val="multilevel"/>
    <w:tmpl w:val="2D32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883DD8"/>
    <w:multiLevelType w:val="hybridMultilevel"/>
    <w:tmpl w:val="A0348BC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B9855E7"/>
    <w:multiLevelType w:val="hybridMultilevel"/>
    <w:tmpl w:val="A08C85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36BB"/>
    <w:multiLevelType w:val="hybridMultilevel"/>
    <w:tmpl w:val="B830C2A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18"/>
  </w:num>
  <w:num w:numId="5">
    <w:abstractNumId w:val="21"/>
  </w:num>
  <w:num w:numId="6">
    <w:abstractNumId w:val="23"/>
  </w:num>
  <w:num w:numId="7">
    <w:abstractNumId w:val="16"/>
  </w:num>
  <w:num w:numId="8">
    <w:abstractNumId w:val="4"/>
  </w:num>
  <w:num w:numId="9">
    <w:abstractNumId w:val="28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29"/>
  </w:num>
  <w:num w:numId="15">
    <w:abstractNumId w:val="9"/>
  </w:num>
  <w:num w:numId="16">
    <w:abstractNumId w:val="5"/>
  </w:num>
  <w:num w:numId="17">
    <w:abstractNumId w:val="15"/>
  </w:num>
  <w:num w:numId="18">
    <w:abstractNumId w:val="19"/>
  </w:num>
  <w:num w:numId="19">
    <w:abstractNumId w:val="8"/>
  </w:num>
  <w:num w:numId="20">
    <w:abstractNumId w:val="12"/>
  </w:num>
  <w:num w:numId="21">
    <w:abstractNumId w:val="13"/>
  </w:num>
  <w:num w:numId="22">
    <w:abstractNumId w:val="22"/>
  </w:num>
  <w:num w:numId="23">
    <w:abstractNumId w:val="20"/>
  </w:num>
  <w:num w:numId="24">
    <w:abstractNumId w:val="0"/>
  </w:num>
  <w:num w:numId="25">
    <w:abstractNumId w:val="3"/>
  </w:num>
  <w:num w:numId="26">
    <w:abstractNumId w:val="25"/>
  </w:num>
  <w:num w:numId="27">
    <w:abstractNumId w:val="24"/>
  </w:num>
  <w:num w:numId="28">
    <w:abstractNumId w:val="6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6"/>
    <w:rsid w:val="000130AF"/>
    <w:rsid w:val="00024F64"/>
    <w:rsid w:val="00031B0E"/>
    <w:rsid w:val="000607D5"/>
    <w:rsid w:val="000B5EBF"/>
    <w:rsid w:val="000C016A"/>
    <w:rsid w:val="000D5786"/>
    <w:rsid w:val="000E1FAE"/>
    <w:rsid w:val="000F3224"/>
    <w:rsid w:val="00151384"/>
    <w:rsid w:val="00154D15"/>
    <w:rsid w:val="001563F7"/>
    <w:rsid w:val="00187FE6"/>
    <w:rsid w:val="00194069"/>
    <w:rsid w:val="001D7665"/>
    <w:rsid w:val="001F0095"/>
    <w:rsid w:val="00221CD4"/>
    <w:rsid w:val="00233F9B"/>
    <w:rsid w:val="0026541A"/>
    <w:rsid w:val="0028457B"/>
    <w:rsid w:val="00295391"/>
    <w:rsid w:val="002B4610"/>
    <w:rsid w:val="002D2BE5"/>
    <w:rsid w:val="002E2A26"/>
    <w:rsid w:val="002F2E04"/>
    <w:rsid w:val="00310837"/>
    <w:rsid w:val="00327FBD"/>
    <w:rsid w:val="003343CE"/>
    <w:rsid w:val="003410E6"/>
    <w:rsid w:val="003675A4"/>
    <w:rsid w:val="00370DC4"/>
    <w:rsid w:val="003728F7"/>
    <w:rsid w:val="00380E23"/>
    <w:rsid w:val="00431CF2"/>
    <w:rsid w:val="005125E7"/>
    <w:rsid w:val="00536AAC"/>
    <w:rsid w:val="00541651"/>
    <w:rsid w:val="005530DC"/>
    <w:rsid w:val="00557AEF"/>
    <w:rsid w:val="00591299"/>
    <w:rsid w:val="005C5157"/>
    <w:rsid w:val="005E7C7C"/>
    <w:rsid w:val="006215F9"/>
    <w:rsid w:val="006310D0"/>
    <w:rsid w:val="0065200C"/>
    <w:rsid w:val="00665E70"/>
    <w:rsid w:val="00671C5C"/>
    <w:rsid w:val="006901C1"/>
    <w:rsid w:val="006D17E3"/>
    <w:rsid w:val="00756BD0"/>
    <w:rsid w:val="00761009"/>
    <w:rsid w:val="00771A44"/>
    <w:rsid w:val="00784B5D"/>
    <w:rsid w:val="007C0A90"/>
    <w:rsid w:val="007E4AF3"/>
    <w:rsid w:val="00803C76"/>
    <w:rsid w:val="008160DE"/>
    <w:rsid w:val="00846980"/>
    <w:rsid w:val="00894C0D"/>
    <w:rsid w:val="008D1149"/>
    <w:rsid w:val="008D2537"/>
    <w:rsid w:val="008F6340"/>
    <w:rsid w:val="0091395D"/>
    <w:rsid w:val="009246AF"/>
    <w:rsid w:val="0094579B"/>
    <w:rsid w:val="00960E77"/>
    <w:rsid w:val="00986587"/>
    <w:rsid w:val="009B4C9D"/>
    <w:rsid w:val="009C34E0"/>
    <w:rsid w:val="009E571B"/>
    <w:rsid w:val="009F2513"/>
    <w:rsid w:val="00A07223"/>
    <w:rsid w:val="00A22759"/>
    <w:rsid w:val="00A6725E"/>
    <w:rsid w:val="00AB4697"/>
    <w:rsid w:val="00AD27D3"/>
    <w:rsid w:val="00AE60BF"/>
    <w:rsid w:val="00B24CE4"/>
    <w:rsid w:val="00B27691"/>
    <w:rsid w:val="00B50724"/>
    <w:rsid w:val="00B73537"/>
    <w:rsid w:val="00B770B3"/>
    <w:rsid w:val="00BC071C"/>
    <w:rsid w:val="00C1563D"/>
    <w:rsid w:val="00C1676C"/>
    <w:rsid w:val="00C22DE6"/>
    <w:rsid w:val="00C361B1"/>
    <w:rsid w:val="00C6792B"/>
    <w:rsid w:val="00C75F9A"/>
    <w:rsid w:val="00C815B9"/>
    <w:rsid w:val="00C9471B"/>
    <w:rsid w:val="00CC1637"/>
    <w:rsid w:val="00D348C6"/>
    <w:rsid w:val="00D37E39"/>
    <w:rsid w:val="00DA76DD"/>
    <w:rsid w:val="00DB1067"/>
    <w:rsid w:val="00E623AB"/>
    <w:rsid w:val="00E97749"/>
    <w:rsid w:val="00E97BD1"/>
    <w:rsid w:val="00EC6FC4"/>
    <w:rsid w:val="00ED5043"/>
    <w:rsid w:val="00ED5CD1"/>
    <w:rsid w:val="00ED7018"/>
    <w:rsid w:val="00EE13D1"/>
    <w:rsid w:val="00EE6E03"/>
    <w:rsid w:val="00EF0C84"/>
    <w:rsid w:val="00F04E20"/>
    <w:rsid w:val="00F135E5"/>
    <w:rsid w:val="00F321E7"/>
    <w:rsid w:val="00F54A87"/>
    <w:rsid w:val="00FC4A05"/>
    <w:rsid w:val="00FC6C50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9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95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5C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C5157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C1676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90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01C1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EF0C84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EF0C8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F0C8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2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B24CE4"/>
  </w:style>
  <w:style w:type="paragraph" w:styleId="ad">
    <w:name w:val="footer"/>
    <w:basedOn w:val="a"/>
    <w:link w:val="ae"/>
    <w:uiPriority w:val="99"/>
    <w:unhideWhenUsed/>
    <w:rsid w:val="00B2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B2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95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5C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C5157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C1676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90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01C1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EF0C84"/>
    <w:pPr>
      <w:spacing w:after="0" w:line="240" w:lineRule="auto"/>
    </w:pPr>
    <w:rPr>
      <w:sz w:val="20"/>
      <w:szCs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EF0C8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F0C8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2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B24CE4"/>
  </w:style>
  <w:style w:type="paragraph" w:styleId="ad">
    <w:name w:val="footer"/>
    <w:basedOn w:val="a"/>
    <w:link w:val="ae"/>
    <w:uiPriority w:val="99"/>
    <w:unhideWhenUsed/>
    <w:rsid w:val="00B2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B2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B283-9754-4F67-828C-07EC913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2367</Words>
  <Characters>13495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Raya</cp:lastModifiedBy>
  <cp:revision>2</cp:revision>
  <cp:lastPrinted>2025-07-16T09:29:00Z</cp:lastPrinted>
  <dcterms:created xsi:type="dcterms:W3CDTF">2025-07-21T09:42:00Z</dcterms:created>
  <dcterms:modified xsi:type="dcterms:W3CDTF">2025-07-21T09:42:00Z</dcterms:modified>
</cp:coreProperties>
</file>